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29" w:rsidRPr="00E67629" w:rsidRDefault="00E67629" w:rsidP="00E67629">
      <w:pPr>
        <w:jc w:val="center"/>
        <w:rPr>
          <w:rFonts w:ascii="Traditional Arabic" w:eastAsia="Times New Roman" w:hAnsi="Traditional Arabic" w:cs="Monotype Koufi"/>
          <w:b/>
          <w:bCs/>
          <w:sz w:val="32"/>
          <w:szCs w:val="32"/>
        </w:rPr>
      </w:pPr>
      <w:r w:rsidRPr="00E67629">
        <w:rPr>
          <w:rFonts w:ascii="Traditional Arabic" w:eastAsia="Times New Roman" w:hAnsi="Traditional Arabic" w:cs="Monotype Koufi" w:hint="cs"/>
          <w:b/>
          <w:bCs/>
          <w:sz w:val="32"/>
          <w:szCs w:val="32"/>
          <w:rtl/>
        </w:rPr>
        <w:t>النّثر الجاهليّ</w:t>
      </w:r>
    </w:p>
    <w:p w:rsidR="00E67629" w:rsidRPr="00E67629" w:rsidRDefault="00E67629" w:rsidP="00E67629">
      <w:pPr>
        <w:ind w:firstLine="720"/>
        <w:jc w:val="both"/>
        <w:rPr>
          <w:rFonts w:ascii="Traditional Arabic" w:eastAsia="Times New Roman" w:hAnsi="Traditional Arabic" w:cs="Traditional Arabic" w:hint="cs"/>
          <w:sz w:val="32"/>
          <w:szCs w:val="32"/>
          <w:rtl/>
        </w:rPr>
      </w:pPr>
      <w:r w:rsidRPr="00E67629">
        <w:rPr>
          <w:rFonts w:ascii="Traditional Arabic" w:eastAsia="Times New Roman" w:hAnsi="Traditional Arabic" w:cs="Traditional Arabic"/>
          <w:b/>
          <w:bCs/>
          <w:sz w:val="32"/>
          <w:szCs w:val="32"/>
          <w:rtl/>
        </w:rPr>
        <w:t xml:space="preserve">ينقسم الكلام الّذي وصل إلينا منسوباً إلى الجاهليّين إلى شعرٍ ونثر: </w:t>
      </w:r>
    </w:p>
    <w:p w:rsidR="00E67629" w:rsidRPr="00E67629" w:rsidRDefault="00E67629" w:rsidP="00E67629">
      <w:pPr>
        <w:ind w:firstLine="720"/>
        <w:jc w:val="both"/>
        <w:rPr>
          <w:rFonts w:ascii="Traditional Arabic" w:eastAsia="Times New Roman" w:hAnsi="Traditional Arabic" w:cs="Traditional Arabic"/>
          <w:sz w:val="32"/>
          <w:szCs w:val="32"/>
          <w:rtl/>
        </w:rPr>
      </w:pPr>
      <w:r w:rsidRPr="00E67629">
        <w:rPr>
          <w:rFonts w:ascii="Traditional Arabic" w:eastAsia="Times New Roman" w:hAnsi="Traditional Arabic" w:cs="Traditional Arabic"/>
          <w:b/>
          <w:bCs/>
          <w:sz w:val="32"/>
          <w:szCs w:val="32"/>
          <w:rtl/>
        </w:rPr>
        <w:t xml:space="preserve">فالشِّعر في الأصل اللُّغَويّ مأخوذٌ من قولهم: شَعَر إذا فَطِنَ وعَلِمَ، وفي الاصطلاح: هو الكلام الموزون المقفّى من أوّله إلى آخره، والّذي له معنًى شعريّ وأسلوب شعريّ وقصَدَ إليه الشّاعرُ قَصْدًا؛ لأنّ الشّاعرَ علِمَ ذلك كلَّه وفطن له. </w:t>
      </w:r>
    </w:p>
    <w:p w:rsidR="00E67629" w:rsidRPr="00E67629" w:rsidRDefault="00E67629" w:rsidP="00E67629">
      <w:pPr>
        <w:ind w:firstLine="720"/>
        <w:jc w:val="both"/>
        <w:rPr>
          <w:rFonts w:ascii="Traditional Arabic" w:eastAsia="Times New Roman" w:hAnsi="Traditional Arabic" w:cs="Traditional Arabic"/>
          <w:sz w:val="32"/>
          <w:szCs w:val="32"/>
          <w:rtl/>
        </w:rPr>
      </w:pPr>
      <w:r w:rsidRPr="00E67629">
        <w:rPr>
          <w:rFonts w:ascii="Traditional Arabic" w:eastAsia="Times New Roman" w:hAnsi="Traditional Arabic" w:cs="Traditional Arabic"/>
          <w:b/>
          <w:bCs/>
          <w:sz w:val="32"/>
          <w:szCs w:val="32"/>
          <w:rtl/>
        </w:rPr>
        <w:t>والنّثر مأخوذٌ في الأصل اللُّغَويّ مِنْ نَثْرِ الشّيء، وهو رَمْيُهُ مُتَفَرِّقًا؛ تقول: نثرتُ الحبَّ ونحوَه إذا رميتَهُ متفرّقًا؛ فهذا الأصلُ اللُّغَويّ يدلُّ على أنّ النّثرَ هُوَ الكلام الذي يتكلّم به النّاسُ عامّةً خاليًا من الوزنِ والنّظامِ الموسيقيّ، ولكنْ عند الحديث عن النّثر في الأدب يُعْنَي النّثر الّذي تعمّد صاحبُه تجويدَه وبذل فيه جُهدًا من حيثُ صياغَتُهُ ولُغَتُهُ ووسائلُه الفنّيّةُ للتّأثير في السّامعين.</w:t>
      </w:r>
    </w:p>
    <w:p w:rsidR="00E67629" w:rsidRPr="00E67629" w:rsidRDefault="00E67629" w:rsidP="00E67629">
      <w:pPr>
        <w:ind w:firstLine="720"/>
        <w:jc w:val="both"/>
        <w:rPr>
          <w:rFonts w:ascii="Traditional Arabic" w:eastAsia="Times New Roman" w:hAnsi="Traditional Arabic" w:cs="Traditional Arabic"/>
          <w:sz w:val="32"/>
          <w:szCs w:val="32"/>
          <w:rtl/>
        </w:rPr>
      </w:pPr>
      <w:r w:rsidRPr="00E67629">
        <w:rPr>
          <w:rFonts w:ascii="Traditional Arabic" w:eastAsia="Times New Roman" w:hAnsi="Traditional Arabic" w:cs="Traditional Arabic"/>
          <w:b/>
          <w:bCs/>
          <w:sz w:val="32"/>
          <w:szCs w:val="32"/>
          <w:rtl/>
        </w:rPr>
        <w:t xml:space="preserve"> ويمكنُ تصنيفُ ما وصل إلَيْنَا عن الجاهليّين من هذا النّثر في أنواع عدَّة: الخطابة، وسَجْع الكُهّان، والوصايا، والحِكَم والأمثال، وهنالك الرسائل والعُهود والأحلاف.</w:t>
      </w:r>
    </w:p>
    <w:p w:rsidR="00E67629" w:rsidRPr="00E67629" w:rsidRDefault="00E67629" w:rsidP="00E67629">
      <w:pPr>
        <w:jc w:val="both"/>
        <w:rPr>
          <w:rFonts w:ascii="Calibri" w:eastAsia="Times New Roman" w:hAnsi="Calibri" w:cs="Arial"/>
          <w:rtl/>
        </w:rPr>
      </w:pPr>
      <w:r w:rsidRPr="00E67629">
        <w:rPr>
          <w:rFonts w:ascii="Calibri" w:eastAsia="Times New Roman" w:hAnsi="Calibri" w:cs="Traditional Arabic"/>
          <w:sz w:val="32"/>
          <w:szCs w:val="32"/>
          <w:rtl/>
        </w:rPr>
        <w:tab/>
        <w:t xml:space="preserve">ولا بُدَّ قبلَ الوقوفِ عند أنواع النّثر الجاهليّ من التّنبيه على </w:t>
      </w:r>
      <w:r w:rsidRPr="00E67629">
        <w:rPr>
          <w:rFonts w:ascii="Calibri" w:eastAsia="Times New Roman" w:hAnsi="Calibri" w:cs="Traditional Arabic"/>
          <w:sz w:val="32"/>
          <w:szCs w:val="32"/>
          <w:rtl/>
          <w:lang w:bidi="ar-SY"/>
        </w:rPr>
        <w:t xml:space="preserve">أمرَيْنِ </w:t>
      </w:r>
      <w:r w:rsidRPr="00E67629">
        <w:rPr>
          <w:rFonts w:ascii="Calibri" w:eastAsia="Times New Roman" w:hAnsi="Calibri" w:cs="Traditional Arabic"/>
          <w:sz w:val="32"/>
          <w:szCs w:val="32"/>
          <w:rtl/>
        </w:rPr>
        <w:t>تَناوَلَهُما بعضُ دارسي النّثر الجاهليّ: الأوّل حول أسبقيّة الشّعر والنّثر، إذ يرى بعضُهم أنّ النّثر أسبق، ويخالفهم آخرون، وكلٌّ يأتي بحُجَجٍ يت</w:t>
      </w:r>
      <w:r w:rsidRPr="00E67629">
        <w:rPr>
          <w:rFonts w:ascii="Calibri" w:eastAsia="Times New Roman" w:hAnsi="Calibri" w:cs="Traditional Arabic"/>
          <w:sz w:val="32"/>
          <w:szCs w:val="32"/>
          <w:rtl/>
          <w:lang w:bidi="ar-SY"/>
        </w:rPr>
        <w:t>خيّل</w:t>
      </w:r>
      <w:r w:rsidRPr="00E67629">
        <w:rPr>
          <w:rFonts w:ascii="Calibri" w:eastAsia="Times New Roman" w:hAnsi="Calibri" w:cs="Traditional Arabic"/>
          <w:sz w:val="32"/>
          <w:szCs w:val="32"/>
          <w:rtl/>
        </w:rPr>
        <w:t xml:space="preserve"> صِحَّتَها يُؤَيِّدُ بها رأيَهُ وينقض رأي الآخر، وهي قضيّة لا تعدو أن تكونَ ضربًا من الجِدالِ الّذي لا فائدة تُرْتَجى من ورائه</w:t>
      </w:r>
      <w:r w:rsidRPr="00E67629">
        <w:rPr>
          <w:rFonts w:ascii="Calibri" w:eastAsia="Times New Roman" w:hAnsi="Calibri" w:cs="Traditional Arabic"/>
          <w:sz w:val="32"/>
          <w:szCs w:val="32"/>
          <w:rtl/>
          <w:lang w:bidi="ar-SY"/>
        </w:rPr>
        <w:t>؛</w:t>
      </w:r>
      <w:r w:rsidRPr="00E67629">
        <w:rPr>
          <w:rFonts w:ascii="Calibri" w:eastAsia="Times New Roman" w:hAnsi="Calibri" w:cs="Traditional Arabic"/>
          <w:sz w:val="32"/>
          <w:szCs w:val="32"/>
          <w:rtl/>
        </w:rPr>
        <w:t xml:space="preserve"> فليس يُهِمُّ كثيرًا أن يكون النّثر أسبق أو الشّعر، بلِ الـمُهِمُّ هو هذا الّذي وصل إلينا من الشّعر والنّثر وكلّ ما يتعلّق بهما؛ ولذلك نضربُ صَفْحًا عن هذ</w:t>
      </w:r>
      <w:r w:rsidRPr="00E67629">
        <w:rPr>
          <w:rFonts w:ascii="Calibri" w:eastAsia="Times New Roman" w:hAnsi="Calibri" w:cs="Traditional Arabic"/>
          <w:sz w:val="32"/>
          <w:szCs w:val="32"/>
          <w:rtl/>
          <w:lang w:bidi="ar-SY"/>
        </w:rPr>
        <w:t>ا</w:t>
      </w:r>
      <w:r w:rsidRPr="00E67629">
        <w:rPr>
          <w:rFonts w:ascii="Calibri" w:eastAsia="Times New Roman" w:hAnsi="Calibri" w:cs="Traditional Arabic"/>
          <w:sz w:val="32"/>
          <w:szCs w:val="32"/>
          <w:rtl/>
        </w:rPr>
        <w:t xml:space="preserve"> ال</w:t>
      </w:r>
      <w:r w:rsidRPr="00E67629">
        <w:rPr>
          <w:rFonts w:ascii="Calibri" w:eastAsia="Times New Roman" w:hAnsi="Calibri" w:cs="Traditional Arabic"/>
          <w:sz w:val="32"/>
          <w:szCs w:val="32"/>
          <w:rtl/>
          <w:lang w:bidi="ar-SY"/>
        </w:rPr>
        <w:t>أمر</w:t>
      </w:r>
      <w:r w:rsidRPr="00E67629">
        <w:rPr>
          <w:rFonts w:ascii="Calibri" w:eastAsia="Times New Roman" w:hAnsi="Calibri" w:cs="Traditional Arabic"/>
          <w:sz w:val="32"/>
          <w:szCs w:val="32"/>
          <w:rtl/>
        </w:rPr>
        <w:t>.</w:t>
      </w:r>
    </w:p>
    <w:p w:rsidR="00E67629" w:rsidRPr="00E67629" w:rsidRDefault="00E67629" w:rsidP="00E67629">
      <w:pPr>
        <w:keepNext/>
        <w:spacing w:after="0" w:line="240" w:lineRule="auto"/>
        <w:ind w:left="-7" w:firstLine="727"/>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lastRenderedPageBreak/>
        <w:t>وال</w:t>
      </w:r>
      <w:r w:rsidRPr="00E67629">
        <w:rPr>
          <w:rFonts w:ascii="Times New Roman" w:eastAsia="Times New Roman" w:hAnsi="Times New Roman" w:cs="Traditional Arabic"/>
          <w:sz w:val="32"/>
          <w:szCs w:val="32"/>
          <w:rtl/>
          <w:lang w:bidi="ar-SY"/>
        </w:rPr>
        <w:t>أمر</w:t>
      </w:r>
      <w:r w:rsidRPr="00E67629">
        <w:rPr>
          <w:rFonts w:ascii="Times New Roman" w:eastAsia="Times New Roman" w:hAnsi="Times New Roman" w:cs="Traditional Arabic"/>
          <w:sz w:val="32"/>
          <w:szCs w:val="32"/>
          <w:rtl/>
        </w:rPr>
        <w:t xml:space="preserve"> الثّاني ه</w:t>
      </w:r>
      <w:r w:rsidRPr="00E67629">
        <w:rPr>
          <w:rFonts w:ascii="Times New Roman" w:eastAsia="Times New Roman" w:hAnsi="Times New Roman" w:cs="Traditional Arabic"/>
          <w:sz w:val="32"/>
          <w:szCs w:val="32"/>
          <w:rtl/>
          <w:lang w:bidi="ar-SY"/>
        </w:rPr>
        <w:t>و</w:t>
      </w:r>
      <w:r w:rsidRPr="00E67629">
        <w:rPr>
          <w:rFonts w:ascii="Times New Roman" w:eastAsia="Times New Roman" w:hAnsi="Times New Roman" w:cs="Traditional Arabic"/>
          <w:sz w:val="32"/>
          <w:szCs w:val="32"/>
          <w:rtl/>
        </w:rPr>
        <w:t xml:space="preserve"> توثيق النّثر الجاهليّ، إذ لا يكاد مُعْظَمُ دارسي الأدب الجاهليّ يثقونَ إلاّ بالقليل النّادرِ من هذا النّثر، وليس لهم حُجَّةٌ في ذلك إلاّ أنّ هذا النّثر لم يصل إلينا مُدوّنًا من الجاهليّة، وإنّما دُوِّنَ بعدَ زَمَن، وأنّ حِفظ النّثر ليس سهلاً كحفظ الشّعر، ثمّ يَعْطِفُون على هذا التّشكيكِ بالقول: </w:t>
      </w:r>
      <w:r w:rsidRPr="00E67629">
        <w:rPr>
          <w:rFonts w:ascii="Times New Roman" w:eastAsia="Times New Roman" w:hAnsi="Times New Roman" w:cs="Traditional Arabic"/>
          <w:b/>
          <w:bCs/>
          <w:sz w:val="32"/>
          <w:szCs w:val="32"/>
          <w:rtl/>
        </w:rPr>
        <w:t>«إنّ هذا الّذي وصل إلينا على أنّه نثرٌ جاهليّ إنّما يُصَوِّرُ لنا مادّةَ ذلك النّثر وروحَهُ وطبيعتَه وكثيرًا مِنَ مَلامِحِهِ، لكنْ لا بصورةٍ دقيقة، وإنّما بصورةٍ عامّة</w:t>
      </w:r>
      <w:r w:rsidRPr="00E67629">
        <w:rPr>
          <w:rFonts w:ascii="Times New Roman" w:eastAsia="Times New Roman" w:hAnsi="Times New Roman" w:cs="Traditional Arabic"/>
          <w:b/>
          <w:bCs/>
          <w:sz w:val="32"/>
          <w:szCs w:val="32"/>
          <w:rtl/>
          <w:lang w:bidi="ar-SY"/>
        </w:rPr>
        <w:t>؛</w:t>
      </w:r>
      <w:r w:rsidRPr="00E67629">
        <w:rPr>
          <w:rFonts w:ascii="Times New Roman" w:eastAsia="Times New Roman" w:hAnsi="Times New Roman" w:cs="Traditional Arabic"/>
          <w:b/>
          <w:bCs/>
          <w:sz w:val="32"/>
          <w:szCs w:val="32"/>
          <w:rtl/>
        </w:rPr>
        <w:t xml:space="preserve"> لأنّ هذا النّثر الّذي وصل إلينا نَحَلَهُ أُناسٌ بعد الإسلام، ولكنْ لا بُدَّ أنّهم كانوا يَقِيسُون على نماذجَ وأساليبَ جاهليّة»</w:t>
      </w:r>
      <w:r w:rsidRPr="00E67629">
        <w:rPr>
          <w:rFonts w:ascii="Times New Roman" w:eastAsia="Times New Roman" w:hAnsi="Times New Roman" w:cs="Traditional Arabic"/>
          <w:sz w:val="32"/>
          <w:szCs w:val="32"/>
          <w:rtl/>
        </w:rPr>
        <w:t>.</w:t>
      </w:r>
    </w:p>
    <w:p w:rsidR="00E67629" w:rsidRPr="00E67629" w:rsidRDefault="00E67629" w:rsidP="00E67629">
      <w:pPr>
        <w:keepNext/>
        <w:spacing w:after="0" w:line="240" w:lineRule="auto"/>
        <w:ind w:left="-7" w:firstLine="20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ab/>
        <w:t>ولا داعِيَ للوُقُوف عند هذا الزّعم طويلاً، لأنّ القضايا الّتي عُولِجَتْ في توثيق الشّعر الجاهليّ من كتابةٍ وروايةٍ وتدوينٍ ونَحْلٍ تنطبق على النّثر الجاهليّ نفسِه، فما وصل إلينا من هذا النّثر عن رواةٍ ثقاتٍ يكون إنكارُهُ والتّشكيك فيه ضَرْبًا مِنَ العَبَثِ الّذي لا ينتهي؛ ثمّ إذا صحّ أنّهم وضعوا هذا النّثر على نماذجَ وأساليبَ</w:t>
      </w:r>
      <w:r w:rsidRPr="00E67629">
        <w:rPr>
          <w:rFonts w:ascii="Times New Roman" w:eastAsia="Times New Roman" w:hAnsi="Times New Roman" w:cs="Traditional Arabic"/>
          <w:sz w:val="32"/>
          <w:szCs w:val="32"/>
          <w:rtl/>
          <w:lang w:bidi="ar-SY"/>
        </w:rPr>
        <w:t xml:space="preserve"> جاهليّةٍ كانت لديهم</w:t>
      </w:r>
      <w:r w:rsidRPr="00E67629">
        <w:rPr>
          <w:rFonts w:ascii="Times New Roman" w:eastAsia="Times New Roman" w:hAnsi="Times New Roman" w:cs="Traditional Arabic"/>
          <w:sz w:val="32"/>
          <w:szCs w:val="32"/>
          <w:rtl/>
        </w:rPr>
        <w:t xml:space="preserve"> أفليس من الأجدر أن تَصِلَ إلينا تلك النّماذجُ  الّتي كانوا يَقِيسُونَ عليها؟! </w:t>
      </w:r>
    </w:p>
    <w:p w:rsidR="00E67629" w:rsidRPr="00E67629" w:rsidRDefault="00E67629" w:rsidP="00E67629">
      <w:pPr>
        <w:keepNext/>
        <w:spacing w:after="0" w:line="240" w:lineRule="auto"/>
        <w:ind w:left="-7" w:firstLine="200"/>
        <w:jc w:val="lowKashida"/>
        <w:outlineLvl w:val="0"/>
        <w:rPr>
          <w:rFonts w:ascii="Times New Roman" w:eastAsia="Times New Roman" w:hAnsi="Times New Roman" w:cs="Traditional Arabic"/>
          <w:sz w:val="32"/>
          <w:szCs w:val="32"/>
          <w:rtl/>
          <w:lang w:bidi="ar-SY"/>
        </w:rPr>
      </w:pPr>
      <w:r w:rsidRPr="00E67629">
        <w:rPr>
          <w:rFonts w:ascii="Times New Roman" w:eastAsia="Times New Roman" w:hAnsi="Times New Roman" w:cs="Traditional Arabic"/>
          <w:sz w:val="32"/>
          <w:szCs w:val="32"/>
          <w:rtl/>
        </w:rPr>
        <w:tab/>
        <w:t>وربّما احتجَّ بعضُهم لهذا التّشكي</w:t>
      </w:r>
      <w:r w:rsidRPr="00E67629">
        <w:rPr>
          <w:rFonts w:ascii="Times New Roman" w:eastAsia="Times New Roman" w:hAnsi="Times New Roman" w:cs="Traditional Arabic"/>
          <w:sz w:val="32"/>
          <w:szCs w:val="32"/>
          <w:rtl/>
          <w:lang w:bidi="ar-SY"/>
        </w:rPr>
        <w:t>ك</w:t>
      </w:r>
      <w:r w:rsidRPr="00E67629">
        <w:rPr>
          <w:rFonts w:ascii="Times New Roman" w:eastAsia="Times New Roman" w:hAnsi="Times New Roman" w:cs="Traditional Arabic"/>
          <w:sz w:val="32"/>
          <w:szCs w:val="32"/>
          <w:rtl/>
        </w:rPr>
        <w:t>ِ باختلافِ رِوايةِ بعضِ ذلك النّثر؛ وليس ذلك بحُجَّةٍ، لأنّ الاختلاف ممّا يقع في الشّعرِ وفي النّثرِ، لأسبابٍ تتعلّق بالقائل أحيانًا وبالنّاقل أحيانًا وبمصدر النّاقل أو اختلافِ مصدر النّاقلين أحيانًا أخرى؛ ولكنّ ذلك كلَّه لا يُخوِّلُ أحَداً الشّكّ في صحّةِ أصلِ هذه الآثار.</w:t>
      </w:r>
    </w:p>
    <w:p w:rsidR="00E67629" w:rsidRPr="00E67629" w:rsidRDefault="00E67629" w:rsidP="00E67629">
      <w:pPr>
        <w:keepNext/>
        <w:spacing w:after="0" w:line="240" w:lineRule="auto"/>
        <w:ind w:left="-7" w:firstLine="20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lang w:bidi="ar-SY"/>
        </w:rPr>
        <w:t xml:space="preserve">         </w:t>
      </w:r>
      <w:r w:rsidRPr="00E67629">
        <w:rPr>
          <w:rFonts w:ascii="Times New Roman" w:eastAsia="Times New Roman" w:hAnsi="Times New Roman" w:cs="Traditional Arabic"/>
          <w:sz w:val="32"/>
          <w:szCs w:val="32"/>
          <w:rtl/>
        </w:rPr>
        <w:t xml:space="preserve"> واحتجّ بعضُهم بأنّ هناك مَنْ لم يتورَّعْ عن وَضْعِ الحديث على رسول الله  صلّى الله عليه وسلّم، فالأَحْرى ألاّ يتورّعَ عن وَضْعِ الخُطَبِ ونحوِها على خطباء الجاهليّة،</w:t>
      </w:r>
      <w:r w:rsidRPr="00E67629">
        <w:rPr>
          <w:rFonts w:ascii="Times New Roman" w:eastAsia="Times New Roman" w:hAnsi="Times New Roman" w:cs="Traditional Arabic"/>
          <w:sz w:val="32"/>
          <w:szCs w:val="32"/>
          <w:rtl/>
          <w:lang w:bidi="ar-SY"/>
        </w:rPr>
        <w:t xml:space="preserve"> </w:t>
      </w:r>
      <w:r w:rsidRPr="00E67629">
        <w:rPr>
          <w:rFonts w:ascii="Times New Roman" w:eastAsia="Times New Roman" w:hAnsi="Times New Roman" w:cs="Traditional Arabic"/>
          <w:sz w:val="32"/>
          <w:szCs w:val="32"/>
          <w:rtl/>
        </w:rPr>
        <w:t>وهذه حُجَّةٌ واهيَةٌ جِدًّا، لأنّ أسبابَ وَضْعِ الحديثِ ودَواعِ</w:t>
      </w:r>
      <w:r w:rsidRPr="00E67629">
        <w:rPr>
          <w:rFonts w:ascii="Times New Roman" w:eastAsia="Times New Roman" w:hAnsi="Times New Roman" w:cs="Traditional Arabic"/>
          <w:sz w:val="32"/>
          <w:szCs w:val="32"/>
          <w:rtl/>
          <w:lang w:bidi="ar-SY"/>
        </w:rPr>
        <w:t>يَه</w:t>
      </w:r>
      <w:r w:rsidRPr="00E67629">
        <w:rPr>
          <w:rFonts w:ascii="Times New Roman" w:eastAsia="Times New Roman" w:hAnsi="Times New Roman" w:cs="Traditional Arabic"/>
          <w:sz w:val="32"/>
          <w:szCs w:val="32"/>
          <w:rtl/>
        </w:rPr>
        <w:t xml:space="preserve"> كثيرةٌ جدًّا دَرَسَها علماءُ الحديث، بخلاف دَواعي الوضْعِ على خطباء الجاهليّة؛ ولا أدَلَّ على ذلك مِنْ أنّ ما وصل إلينا من خُطَبهم و</w:t>
      </w:r>
      <w:r w:rsidRPr="00E67629">
        <w:rPr>
          <w:rFonts w:ascii="Times New Roman" w:eastAsia="Times New Roman" w:hAnsi="Times New Roman" w:cs="Traditional Arabic"/>
          <w:sz w:val="32"/>
          <w:szCs w:val="32"/>
          <w:rtl/>
          <w:lang w:bidi="ar-SY"/>
        </w:rPr>
        <w:t xml:space="preserve">سائرِ </w:t>
      </w:r>
      <w:r w:rsidRPr="00E67629">
        <w:rPr>
          <w:rFonts w:ascii="Times New Roman" w:eastAsia="Times New Roman" w:hAnsi="Times New Roman" w:cs="Traditional Arabic"/>
          <w:sz w:val="32"/>
          <w:szCs w:val="32"/>
          <w:rtl/>
        </w:rPr>
        <w:t xml:space="preserve">نثرهم لا يُعَدُّ شيئًا إذا ما قِيْسَ بما وصل إلينا من شعر الجاهليّة، فلا يكاد المَرْءُ يجد لأشهر خطبائهم خُطَبًا تزيد على أصابعِ اليَدِ الواحدة، وهي خُطَبٌ قصيرةٌ </w:t>
      </w:r>
      <w:r w:rsidRPr="00E67629">
        <w:rPr>
          <w:rFonts w:ascii="Times New Roman" w:eastAsia="Times New Roman" w:hAnsi="Times New Roman" w:cs="Traditional Arabic"/>
          <w:sz w:val="32"/>
          <w:szCs w:val="32"/>
          <w:rtl/>
          <w:lang w:bidi="ar-SY"/>
        </w:rPr>
        <w:t>في الغالب</w:t>
      </w:r>
      <w:r w:rsidRPr="00E67629">
        <w:rPr>
          <w:rFonts w:ascii="Times New Roman" w:eastAsia="Times New Roman" w:hAnsi="Times New Roman" w:cs="Traditional Arabic"/>
          <w:sz w:val="32"/>
          <w:szCs w:val="32"/>
          <w:rtl/>
        </w:rPr>
        <w:t>، ليس من الصّعب حفظُها وتَناقُلُها.</w:t>
      </w:r>
    </w:p>
    <w:p w:rsidR="00E67629" w:rsidRPr="00E67629" w:rsidRDefault="00E67629" w:rsidP="00E67629">
      <w:pPr>
        <w:keepNext/>
        <w:spacing w:after="0" w:line="240" w:lineRule="auto"/>
        <w:ind w:left="-7"/>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ab/>
      </w:r>
      <w:r w:rsidRPr="00E67629">
        <w:rPr>
          <w:rFonts w:ascii="Times New Roman" w:eastAsia="Times New Roman" w:hAnsi="Times New Roman" w:cs="Traditional Arabic"/>
          <w:sz w:val="32"/>
          <w:szCs w:val="32"/>
          <w:rtl/>
        </w:rPr>
        <w:tab/>
        <w:t>وكلُّ هذا التّشكيك الّذي دَأَبَ عليه الدّارسونَ يَرْجِعُ إلى افتراضاتٍ وأوهامٍ وت</w:t>
      </w:r>
      <w:r w:rsidRPr="00E67629">
        <w:rPr>
          <w:rFonts w:ascii="Times New Roman" w:eastAsia="Times New Roman" w:hAnsi="Times New Roman" w:cs="Traditional Arabic"/>
          <w:sz w:val="32"/>
          <w:szCs w:val="32"/>
          <w:rtl/>
          <w:lang w:bidi="ar-SY"/>
        </w:rPr>
        <w:t>خيّل</w:t>
      </w:r>
      <w:r w:rsidRPr="00E67629">
        <w:rPr>
          <w:rFonts w:ascii="Times New Roman" w:eastAsia="Times New Roman" w:hAnsi="Times New Roman" w:cs="Traditional Arabic"/>
          <w:sz w:val="32"/>
          <w:szCs w:val="32"/>
          <w:rtl/>
        </w:rPr>
        <w:t xml:space="preserve">اتٍ تحتاج إلى الدّليل العلميّ الملموس الـمُقْنِع؛ ولذلك يجبُ الوقوفُ من هذا النّثر موقفَ القاضي العادل الّذي يُحاكِمُ مُتَّهمًا ما، </w:t>
      </w:r>
      <w:r w:rsidRPr="00E67629">
        <w:rPr>
          <w:rFonts w:ascii="Times New Roman" w:eastAsia="Times New Roman" w:hAnsi="Times New Roman" w:cs="Traditional Arabic"/>
          <w:sz w:val="32"/>
          <w:szCs w:val="32"/>
          <w:rtl/>
          <w:lang w:bidi="ar-SY"/>
        </w:rPr>
        <w:t xml:space="preserve">وإلاّ </w:t>
      </w:r>
      <w:r w:rsidRPr="00E67629">
        <w:rPr>
          <w:rFonts w:ascii="Times New Roman" w:eastAsia="Times New Roman" w:hAnsi="Times New Roman" w:cs="Traditional Arabic"/>
          <w:sz w:val="32"/>
          <w:szCs w:val="32"/>
          <w:rtl/>
        </w:rPr>
        <w:t>حَكَمَ كلُّ امرئٍ بحَسَبِ هَواه وظُنونه، وإنّ الظّنّ لا يُغْني مِنَ الحقِّ شيئًا.</w:t>
      </w:r>
    </w:p>
    <w:p w:rsidR="00E67629" w:rsidRPr="00E67629" w:rsidRDefault="00E67629" w:rsidP="00E67629">
      <w:pPr>
        <w:keepNext/>
        <w:spacing w:after="0" w:line="240" w:lineRule="auto"/>
        <w:ind w:left="-7" w:firstLine="20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ab/>
        <w:t xml:space="preserve">وسيكون الكلامُ </w:t>
      </w:r>
      <w:r w:rsidRPr="00E67629">
        <w:rPr>
          <w:rFonts w:ascii="Times New Roman" w:eastAsia="Times New Roman" w:hAnsi="Times New Roman" w:cs="Traditional Arabic"/>
          <w:sz w:val="32"/>
          <w:szCs w:val="32"/>
          <w:rtl/>
          <w:lang w:bidi="ar-SY"/>
        </w:rPr>
        <w:t xml:space="preserve">فيما يأتي </w:t>
      </w:r>
      <w:r w:rsidRPr="00E67629">
        <w:rPr>
          <w:rFonts w:ascii="Times New Roman" w:eastAsia="Times New Roman" w:hAnsi="Times New Roman" w:cs="Traditional Arabic"/>
          <w:sz w:val="32"/>
          <w:szCs w:val="32"/>
          <w:rtl/>
        </w:rPr>
        <w:t>على أربعة أنواع رئيسة من النّثر الجاهليّ، هي: الخَطابة، وسَجْع الكُهّان، والوصايا، والحِكَم والأمثال.</w:t>
      </w:r>
    </w:p>
    <w:p w:rsidR="00E67629" w:rsidRDefault="00E67629" w:rsidP="00E67629">
      <w:pPr>
        <w:keepNext/>
        <w:spacing w:after="0" w:line="240" w:lineRule="auto"/>
        <w:ind w:left="1414" w:firstLine="58"/>
        <w:jc w:val="lowKashida"/>
        <w:outlineLvl w:val="0"/>
        <w:rPr>
          <w:rFonts w:ascii="Times New Roman" w:eastAsia="Times New Roman" w:hAnsi="Times New Roman" w:cs="Traditional Arabic" w:hint="cs"/>
          <w:sz w:val="32"/>
          <w:szCs w:val="32"/>
          <w:rtl/>
          <w:lang w:bidi="ar-SY"/>
        </w:rPr>
      </w:pPr>
    </w:p>
    <w:p w:rsidR="00E67629" w:rsidRDefault="00E67629" w:rsidP="00E67629">
      <w:pPr>
        <w:keepNext/>
        <w:spacing w:after="0" w:line="240" w:lineRule="auto"/>
        <w:ind w:left="1414" w:firstLine="58"/>
        <w:jc w:val="lowKashida"/>
        <w:outlineLvl w:val="0"/>
        <w:rPr>
          <w:rFonts w:ascii="Times New Roman" w:eastAsia="Times New Roman" w:hAnsi="Times New Roman" w:cs="Traditional Arabic" w:hint="cs"/>
          <w:sz w:val="32"/>
          <w:szCs w:val="32"/>
          <w:rtl/>
          <w:lang w:bidi="ar-SY"/>
        </w:rPr>
      </w:pPr>
    </w:p>
    <w:p w:rsidR="00E67629" w:rsidRDefault="00E67629" w:rsidP="00E67629">
      <w:pPr>
        <w:keepNext/>
        <w:spacing w:after="0" w:line="240" w:lineRule="auto"/>
        <w:ind w:left="1414" w:firstLine="58"/>
        <w:jc w:val="lowKashida"/>
        <w:outlineLvl w:val="0"/>
        <w:rPr>
          <w:rFonts w:ascii="Times New Roman" w:eastAsia="Times New Roman" w:hAnsi="Times New Roman" w:cs="Traditional Arabic" w:hint="cs"/>
          <w:sz w:val="32"/>
          <w:szCs w:val="32"/>
          <w:rtl/>
          <w:lang w:bidi="ar-SY"/>
        </w:rPr>
      </w:pPr>
    </w:p>
    <w:p w:rsidR="00E67629" w:rsidRPr="00E67629" w:rsidRDefault="00E67629" w:rsidP="00E67629">
      <w:pPr>
        <w:keepNext/>
        <w:spacing w:after="0" w:line="240" w:lineRule="auto"/>
        <w:ind w:left="1414" w:firstLine="58"/>
        <w:jc w:val="lowKashida"/>
        <w:outlineLvl w:val="0"/>
        <w:rPr>
          <w:rFonts w:ascii="Times New Roman" w:eastAsia="Times New Roman" w:hAnsi="Times New Roman" w:cs="Traditional Arabic" w:hint="cs"/>
          <w:sz w:val="32"/>
          <w:szCs w:val="32"/>
          <w:lang w:bidi="ar-SY"/>
        </w:rPr>
      </w:pPr>
      <w:bookmarkStart w:id="0" w:name="_GoBack"/>
      <w:bookmarkEnd w:id="0"/>
    </w:p>
    <w:p w:rsidR="00E67629" w:rsidRPr="00E67629" w:rsidRDefault="00E67629" w:rsidP="00E67629">
      <w:pPr>
        <w:keepNext/>
        <w:spacing w:after="0" w:line="240" w:lineRule="auto"/>
        <w:ind w:left="-7" w:firstLine="850"/>
        <w:jc w:val="center"/>
        <w:outlineLvl w:val="0"/>
        <w:rPr>
          <w:rFonts w:ascii="Andalus" w:eastAsia="Times New Roman" w:hAnsi="Andalus" w:cs="Andalus"/>
          <w:sz w:val="32"/>
          <w:szCs w:val="32"/>
          <w:rtl/>
          <w:lang w:bidi="ar-SY"/>
        </w:rPr>
      </w:pPr>
      <w:r w:rsidRPr="00E67629">
        <w:rPr>
          <w:rFonts w:ascii="Andalus" w:eastAsia="Times New Roman" w:hAnsi="Andalus" w:cs="Andalus"/>
          <w:sz w:val="32"/>
          <w:szCs w:val="32"/>
          <w:rtl/>
          <w:lang w:bidi="ar-SY"/>
        </w:rPr>
        <w:lastRenderedPageBreak/>
        <w:t>أوّلاً:</w:t>
      </w:r>
      <w:r w:rsidRPr="00E67629">
        <w:rPr>
          <w:rFonts w:ascii="Andalus" w:eastAsia="Times New Roman" w:hAnsi="Andalus" w:cs="Andalus"/>
          <w:sz w:val="32"/>
          <w:szCs w:val="32"/>
          <w:rtl/>
        </w:rPr>
        <w:t xml:space="preserve"> الخَطابة الجاهليّة </w:t>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b/>
          <w:bCs/>
          <w:sz w:val="32"/>
          <w:szCs w:val="32"/>
          <w:rtl/>
        </w:rPr>
      </w:pPr>
      <w:r w:rsidRPr="00E67629">
        <w:rPr>
          <w:rFonts w:ascii="Times New Roman" w:eastAsia="Times New Roman" w:hAnsi="Times New Roman" w:cs="Traditional Arabic"/>
          <w:b/>
          <w:bCs/>
          <w:sz w:val="32"/>
          <w:szCs w:val="32"/>
          <w:rtl/>
        </w:rPr>
        <w:tab/>
      </w:r>
      <w:r w:rsidRPr="00E67629">
        <w:rPr>
          <w:rFonts w:ascii="Times New Roman" w:eastAsia="Times New Roman" w:hAnsi="Times New Roman" w:cs="Traditional Arabic"/>
          <w:b/>
          <w:bCs/>
          <w:sz w:val="32"/>
          <w:szCs w:val="32"/>
          <w:rtl/>
          <w:lang w:bidi="ar-SY"/>
        </w:rPr>
        <w:t>1</w:t>
      </w:r>
      <w:r w:rsidRPr="00E67629">
        <w:rPr>
          <w:rFonts w:ascii="Times New Roman" w:eastAsia="Times New Roman" w:hAnsi="Times New Roman" w:cs="Traditional Arabic"/>
          <w:b/>
          <w:bCs/>
          <w:sz w:val="32"/>
          <w:szCs w:val="32"/>
          <w:rtl/>
        </w:rPr>
        <w:t>- دواعي ازدهار الخَطابة في الجاهليّة:</w:t>
      </w:r>
      <w:r w:rsidRPr="00E67629">
        <w:rPr>
          <w:rFonts w:ascii="Times New Roman" w:eastAsia="Times New Roman" w:hAnsi="Times New Roman" w:cs="Traditional Arabic"/>
          <w:b/>
          <w:bCs/>
          <w:sz w:val="32"/>
          <w:szCs w:val="32"/>
          <w:rtl/>
        </w:rPr>
        <w:tab/>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ab/>
        <w:t xml:space="preserve">كانت حياة العرب في الجاهليّة، </w:t>
      </w:r>
      <w:r w:rsidRPr="00E67629">
        <w:rPr>
          <w:rFonts w:ascii="Times New Roman" w:eastAsia="Times New Roman" w:hAnsi="Times New Roman" w:cs="Traditional Arabic"/>
          <w:sz w:val="32"/>
          <w:szCs w:val="32"/>
          <w:rtl/>
          <w:lang w:bidi="ar-SY"/>
        </w:rPr>
        <w:t>ب</w:t>
      </w:r>
      <w:r w:rsidRPr="00E67629">
        <w:rPr>
          <w:rFonts w:ascii="Times New Roman" w:eastAsia="Times New Roman" w:hAnsi="Times New Roman" w:cs="Traditional Arabic"/>
          <w:sz w:val="32"/>
          <w:szCs w:val="32"/>
          <w:rtl/>
        </w:rPr>
        <w:t>أوجه النّشاط المختلفة</w:t>
      </w:r>
      <w:r w:rsidRPr="00E67629">
        <w:rPr>
          <w:rFonts w:ascii="Times New Roman" w:eastAsia="Times New Roman" w:hAnsi="Times New Roman" w:cs="Traditional Arabic"/>
          <w:sz w:val="32"/>
          <w:szCs w:val="32"/>
          <w:rtl/>
          <w:lang w:bidi="ar-SY"/>
        </w:rPr>
        <w:t xml:space="preserve"> فيها من</w:t>
      </w:r>
      <w:r w:rsidRPr="00E67629">
        <w:rPr>
          <w:rFonts w:ascii="Times New Roman" w:eastAsia="Times New Roman" w:hAnsi="Times New Roman" w:cs="Traditional Arabic"/>
          <w:sz w:val="32"/>
          <w:szCs w:val="32"/>
          <w:rtl/>
        </w:rPr>
        <w:t xml:space="preserve"> حربٍ وصُلْح، ومنافراتٍ ومفاخَراتٍ، ووفادة على الملوك، ومواسمَ للتّجارة والحجّ، ومناسباتٍ اجتماعيةٍ مختلفة، تُؤهِّل الجاهليّين لأَنْ يُهِيِّئوا لهذه ا</w:t>
      </w:r>
      <w:r w:rsidRPr="00E67629">
        <w:rPr>
          <w:rFonts w:ascii="Times New Roman" w:eastAsia="Times New Roman" w:hAnsi="Times New Roman" w:cs="Traditional Arabic"/>
          <w:sz w:val="32"/>
          <w:szCs w:val="32"/>
          <w:rtl/>
          <w:lang w:bidi="ar-SY"/>
        </w:rPr>
        <w:t>لأحوال</w:t>
      </w:r>
      <w:r w:rsidRPr="00E67629">
        <w:rPr>
          <w:rFonts w:ascii="Times New Roman" w:eastAsia="Times New Roman" w:hAnsi="Times New Roman" w:cs="Traditional Arabic"/>
          <w:sz w:val="32"/>
          <w:szCs w:val="32"/>
          <w:rtl/>
        </w:rPr>
        <w:t xml:space="preserve"> ما يناسبُها مِن خُطَبٍ تُبَلِّغُهم ما يُريدون، وينهضُ لهذه الخُطَبِ أُناسٌ ملكوا أَعِنَّةَ البيانِ بما فُطِروا عليه من فصاحةٍ وبديهةٍ وذَلاقةِ لِسان، حتّى إنّ الجاحظَ سحَبَ هذا الوصفَ على العربِ عامّةً حينَ قال: </w:t>
      </w:r>
      <w:r w:rsidRPr="00E67629">
        <w:rPr>
          <w:rFonts w:ascii="Times New Roman" w:eastAsia="Times New Roman" w:hAnsi="Times New Roman" w:cs="Traditional Arabic"/>
          <w:b/>
          <w:bCs/>
          <w:sz w:val="32"/>
          <w:szCs w:val="32"/>
          <w:rtl/>
        </w:rPr>
        <w:t>«وكلُّ شيءٍ للعربِ فإنّما هُوَ بديهةٌ وارتجال، وكأنّه إلهامٌ، وليس هناكَ معاناةٌ ولا مُكابَدةٌ ولا إِجالةُ فِكرٍ ولا استعانة، وإنّما هو أنْ يَصْرِفَ وَهْمَهُ إلى الكلام … عندَ المُقارَعَةِ أوِ المُناقَلَةِ أو عند صِراعٍ أو في حرب، فما هو إلاّ أنْ يصرِفَ وَهْمَهُ إلى جُمْلَةِ المَذْهَبِ وإلى العَمودِ الّذي إليه يَقْصِدُ، فتأتيه المعاني أَرْسالاً، وتَنْثالُ عليه الألفاظُ انثيالاً … »</w:t>
      </w:r>
      <w:r w:rsidRPr="00E67629">
        <w:rPr>
          <w:rFonts w:ascii="Times New Roman" w:eastAsia="Times New Roman" w:hAnsi="Times New Roman" w:cs="Traditional Arabic"/>
          <w:sz w:val="32"/>
          <w:szCs w:val="32"/>
          <w:rtl/>
        </w:rPr>
        <w:t xml:space="preserve">، وهذه مبالغةٌ مِن الجاحظ، لأنّ في العرَبِ العَيِيَّ والفصيح، </w:t>
      </w:r>
      <w:r w:rsidRPr="00E67629">
        <w:rPr>
          <w:rFonts w:ascii="Times New Roman" w:eastAsia="Times New Roman" w:hAnsi="Times New Roman" w:cs="Traditional Arabic"/>
          <w:sz w:val="32"/>
          <w:szCs w:val="32"/>
          <w:rtl/>
          <w:lang w:bidi="ar-SY"/>
        </w:rPr>
        <w:t>مثل</w:t>
      </w:r>
      <w:r w:rsidRPr="00E67629">
        <w:rPr>
          <w:rFonts w:ascii="Times New Roman" w:eastAsia="Times New Roman" w:hAnsi="Times New Roman" w:cs="Traditional Arabic"/>
          <w:sz w:val="32"/>
          <w:szCs w:val="32"/>
          <w:rtl/>
        </w:rPr>
        <w:t>ما أنّ فيهم الجريءَ والجبان، ولولا وجودُ الحَصَرِ والعِيِّ مع الفصاحةِ والبَيانِ، لَما وَصفُوا ذلك كلَّه في أشعارهم.</w:t>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sz w:val="32"/>
          <w:szCs w:val="32"/>
          <w:rtl/>
          <w:lang w:bidi="ar-SY"/>
        </w:rPr>
      </w:pPr>
      <w:r w:rsidRPr="00E67629">
        <w:rPr>
          <w:rFonts w:ascii="Times New Roman" w:eastAsia="Times New Roman" w:hAnsi="Times New Roman" w:cs="Traditional Arabic"/>
          <w:b/>
          <w:bCs/>
          <w:sz w:val="32"/>
          <w:szCs w:val="32"/>
          <w:rtl/>
          <w:lang w:bidi="ar-SY"/>
        </w:rPr>
        <w:t>2</w:t>
      </w:r>
      <w:r w:rsidRPr="00E67629">
        <w:rPr>
          <w:rFonts w:ascii="Times New Roman" w:eastAsia="Times New Roman" w:hAnsi="Times New Roman" w:cs="Traditional Arabic"/>
          <w:b/>
          <w:bCs/>
          <w:sz w:val="32"/>
          <w:szCs w:val="32"/>
          <w:rtl/>
        </w:rPr>
        <w:t>- أشهر خطبائهم:</w:t>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 xml:space="preserve">اشتُهِر بالخطابةِ في كلِّ قبيلةٍ عددٌ من هؤلاء الفصحاء، </w:t>
      </w:r>
      <w:r w:rsidRPr="00E67629">
        <w:rPr>
          <w:rFonts w:ascii="Times New Roman" w:eastAsia="Times New Roman" w:hAnsi="Times New Roman" w:cs="Traditional Arabic"/>
          <w:b/>
          <w:bCs/>
          <w:sz w:val="32"/>
          <w:szCs w:val="32"/>
          <w:rtl/>
        </w:rPr>
        <w:t>ففي قريشٍ</w:t>
      </w:r>
      <w:r w:rsidRPr="00E67629">
        <w:rPr>
          <w:rFonts w:ascii="Times New Roman" w:eastAsia="Times New Roman" w:hAnsi="Times New Roman" w:cs="Traditional Arabic"/>
          <w:sz w:val="32"/>
          <w:szCs w:val="32"/>
          <w:rtl/>
        </w:rPr>
        <w:t xml:space="preserve"> كانَ هاشمُ بنُ عبد مَنافٍ، وابنُه عبد المطّلب، وأميّة بن عبد شمس بن عبد مَناف، وابنُه حَرْبُ بن أميّة، ونُفَيْلُ </w:t>
      </w:r>
      <w:r w:rsidRPr="00E67629">
        <w:rPr>
          <w:rFonts w:ascii="Times New Roman" w:eastAsia="Times New Roman" w:hAnsi="Times New Roman" w:cs="Traditional Arabic"/>
          <w:sz w:val="32"/>
          <w:szCs w:val="32"/>
          <w:rtl/>
          <w:lang w:bidi="ar-SY"/>
        </w:rPr>
        <w:t>ب</w:t>
      </w:r>
      <w:r w:rsidRPr="00E67629">
        <w:rPr>
          <w:rFonts w:ascii="Times New Roman" w:eastAsia="Times New Roman" w:hAnsi="Times New Roman" w:cs="Traditional Arabic"/>
          <w:sz w:val="32"/>
          <w:szCs w:val="32"/>
          <w:rtl/>
        </w:rPr>
        <w:t>ن عبد العزّى، وعُتْبَةُ بن رَبيعة بن عبد شمس، وسُهَيْلُ بنُ عَمْرٍو العامريّ القرشيّ، وغيرهم</w:t>
      </w:r>
      <w:r w:rsidRPr="00E67629">
        <w:rPr>
          <w:rFonts w:ascii="Times New Roman" w:eastAsia="Times New Roman" w:hAnsi="Times New Roman" w:cs="Traditional Arabic"/>
          <w:sz w:val="32"/>
          <w:szCs w:val="32"/>
          <w:rtl/>
          <w:lang w:bidi="ar-SY"/>
        </w:rPr>
        <w:t xml:space="preserve">، </w:t>
      </w:r>
      <w:r w:rsidRPr="00E67629">
        <w:rPr>
          <w:rFonts w:ascii="Times New Roman" w:eastAsia="Times New Roman" w:hAnsi="Times New Roman" w:cs="Traditional Arabic"/>
          <w:b/>
          <w:bCs/>
          <w:sz w:val="32"/>
          <w:szCs w:val="32"/>
          <w:rtl/>
        </w:rPr>
        <w:t>وفي الخَزْرَجِ</w:t>
      </w:r>
      <w:r w:rsidRPr="00E67629">
        <w:rPr>
          <w:rFonts w:ascii="Times New Roman" w:eastAsia="Times New Roman" w:hAnsi="Times New Roman" w:cs="Traditional Arabic"/>
          <w:sz w:val="32"/>
          <w:szCs w:val="32"/>
          <w:rtl/>
        </w:rPr>
        <w:t xml:space="preserve">: قيسُ ابنُ شمّاس، وابنُه ثابتُ بن قيس خطيبُ النّبيِّ صلّى الله عليه وسلّم، </w:t>
      </w:r>
      <w:r w:rsidRPr="00E67629">
        <w:rPr>
          <w:rFonts w:ascii="Times New Roman" w:eastAsia="Times New Roman" w:hAnsi="Times New Roman" w:cs="Traditional Arabic"/>
          <w:b/>
          <w:bCs/>
          <w:sz w:val="32"/>
          <w:szCs w:val="32"/>
          <w:rtl/>
        </w:rPr>
        <w:t>وفي الأوسِ</w:t>
      </w:r>
      <w:r w:rsidRPr="00E67629">
        <w:rPr>
          <w:rFonts w:ascii="Times New Roman" w:eastAsia="Times New Roman" w:hAnsi="Times New Roman" w:cs="Traditional Arabic"/>
          <w:sz w:val="32"/>
          <w:szCs w:val="32"/>
          <w:rtl/>
        </w:rPr>
        <w:t xml:space="preserve">: سعدُ بن مُعاذ، </w:t>
      </w:r>
      <w:r w:rsidRPr="00E67629">
        <w:rPr>
          <w:rFonts w:ascii="Times New Roman" w:eastAsia="Times New Roman" w:hAnsi="Times New Roman" w:cs="Traditional Arabic"/>
          <w:b/>
          <w:bCs/>
          <w:sz w:val="32"/>
          <w:szCs w:val="32"/>
          <w:rtl/>
        </w:rPr>
        <w:t>وفي تميم</w:t>
      </w:r>
      <w:r w:rsidRPr="00E67629">
        <w:rPr>
          <w:rFonts w:ascii="Times New Roman" w:eastAsia="Times New Roman" w:hAnsi="Times New Roman" w:cs="Traditional Arabic"/>
          <w:sz w:val="32"/>
          <w:szCs w:val="32"/>
          <w:rtl/>
        </w:rPr>
        <w:t xml:space="preserve">: أَكْثَمُ بن صَيْفيّ، وعُطارِدُ بنُ حاجِبِ بنِ زُرارة، وقيس بن عاصم، </w:t>
      </w:r>
      <w:r w:rsidRPr="00E67629">
        <w:rPr>
          <w:rFonts w:ascii="Times New Roman" w:eastAsia="Times New Roman" w:hAnsi="Times New Roman" w:cs="Traditional Arabic"/>
          <w:b/>
          <w:bCs/>
          <w:sz w:val="32"/>
          <w:szCs w:val="32"/>
          <w:rtl/>
        </w:rPr>
        <w:t>وفي مَذْحِج</w:t>
      </w:r>
      <w:r w:rsidRPr="00E67629">
        <w:rPr>
          <w:rFonts w:ascii="Times New Roman" w:eastAsia="Times New Roman" w:hAnsi="Times New Roman" w:cs="Traditional Arabic"/>
          <w:sz w:val="32"/>
          <w:szCs w:val="32"/>
          <w:rtl/>
        </w:rPr>
        <w:t xml:space="preserve">: الأَفْوَه الأَوْديّ، </w:t>
      </w:r>
      <w:r w:rsidRPr="00E67629">
        <w:rPr>
          <w:rFonts w:ascii="Times New Roman" w:eastAsia="Times New Roman" w:hAnsi="Times New Roman" w:cs="Traditional Arabic"/>
          <w:b/>
          <w:bCs/>
          <w:sz w:val="32"/>
          <w:szCs w:val="32"/>
          <w:rtl/>
        </w:rPr>
        <w:t>وفي إياد</w:t>
      </w:r>
      <w:r w:rsidRPr="00E67629">
        <w:rPr>
          <w:rFonts w:ascii="Times New Roman" w:eastAsia="Times New Roman" w:hAnsi="Times New Roman" w:cs="Traditional Arabic"/>
          <w:sz w:val="32"/>
          <w:szCs w:val="32"/>
          <w:rtl/>
        </w:rPr>
        <w:t xml:space="preserve">: قُسُّ بنُ ساعدة، </w:t>
      </w:r>
      <w:r w:rsidRPr="00E67629">
        <w:rPr>
          <w:rFonts w:ascii="Times New Roman" w:eastAsia="Times New Roman" w:hAnsi="Times New Roman" w:cs="Traditional Arabic"/>
          <w:b/>
          <w:bCs/>
          <w:sz w:val="32"/>
          <w:szCs w:val="32"/>
          <w:rtl/>
        </w:rPr>
        <w:t>وفي شيبانَ</w:t>
      </w:r>
      <w:r w:rsidRPr="00E67629">
        <w:rPr>
          <w:rFonts w:ascii="Times New Roman" w:eastAsia="Times New Roman" w:hAnsi="Times New Roman" w:cs="Traditional Arabic"/>
          <w:sz w:val="32"/>
          <w:szCs w:val="32"/>
          <w:rtl/>
        </w:rPr>
        <w:t xml:space="preserve">: هانئُ بنُ قَبِيْصَة، </w:t>
      </w:r>
      <w:r w:rsidRPr="00E67629">
        <w:rPr>
          <w:rFonts w:ascii="Times New Roman" w:eastAsia="Times New Roman" w:hAnsi="Times New Roman" w:cs="Traditional Arabic"/>
          <w:b/>
          <w:bCs/>
          <w:sz w:val="32"/>
          <w:szCs w:val="32"/>
          <w:rtl/>
        </w:rPr>
        <w:t>وفي عَدْوان</w:t>
      </w:r>
      <w:r w:rsidRPr="00E67629">
        <w:rPr>
          <w:rFonts w:ascii="Times New Roman" w:eastAsia="Times New Roman" w:hAnsi="Times New Roman" w:cs="Traditional Arabic"/>
          <w:sz w:val="32"/>
          <w:szCs w:val="32"/>
          <w:rtl/>
        </w:rPr>
        <w:t>: عامر بن الظَّرِب؛ وغيرُ هؤلاء كثيرٌ في كلّ قبيلة.</w:t>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b/>
          <w:bCs/>
          <w:sz w:val="36"/>
          <w:szCs w:val="36"/>
          <w:rtl/>
        </w:rPr>
      </w:pPr>
      <w:r w:rsidRPr="00E67629">
        <w:rPr>
          <w:rFonts w:ascii="Times New Roman" w:eastAsia="Times New Roman" w:hAnsi="Times New Roman" w:cs="Traditional Arabic"/>
          <w:b/>
          <w:bCs/>
          <w:sz w:val="36"/>
          <w:szCs w:val="36"/>
          <w:rtl/>
        </w:rPr>
        <w:t>3- مكانةُ الخَطيب:</w:t>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كانت القبائل محتاجةً إلى الخُطباء حاجتَها إلى الشّعراء، ليقوموا في المقاماتِ المختلفة</w:t>
      </w:r>
      <w:r w:rsidRPr="00E67629">
        <w:rPr>
          <w:rFonts w:ascii="Times New Roman" w:eastAsia="Times New Roman" w:hAnsi="Times New Roman" w:cs="Traditional Arabic"/>
          <w:sz w:val="32"/>
          <w:szCs w:val="32"/>
          <w:rtl/>
          <w:lang w:bidi="ar-SY"/>
        </w:rPr>
        <w:t>؛</w:t>
      </w:r>
      <w:r w:rsidRPr="00E67629">
        <w:rPr>
          <w:rFonts w:ascii="Times New Roman" w:eastAsia="Times New Roman" w:hAnsi="Times New Roman" w:cs="Traditional Arabic"/>
          <w:sz w:val="32"/>
          <w:szCs w:val="32"/>
          <w:rtl/>
        </w:rPr>
        <w:t xml:space="preserve"> على أنّ الشّاعرَ كان مقدَّمًا على الخطيبِ عند قدماء الجاهليّين</w:t>
      </w:r>
      <w:r w:rsidRPr="00E67629">
        <w:rPr>
          <w:rFonts w:ascii="Times New Roman" w:eastAsia="Times New Roman" w:hAnsi="Times New Roman" w:cs="Traditional Arabic"/>
          <w:sz w:val="32"/>
          <w:szCs w:val="32"/>
          <w:rtl/>
          <w:lang w:bidi="ar-SY"/>
        </w:rPr>
        <w:t>،</w:t>
      </w:r>
      <w:r w:rsidRPr="00E67629">
        <w:rPr>
          <w:rFonts w:ascii="Times New Roman" w:eastAsia="Times New Roman" w:hAnsi="Times New Roman" w:cs="Traditional Arabic"/>
          <w:sz w:val="32"/>
          <w:szCs w:val="32"/>
          <w:rtl/>
        </w:rPr>
        <w:t xml:space="preserve"> ولكنّ الأواخرَ منهم قدّموا الخطيب، وقد علّل أبو عمرو بن العلاءِ ذلك بقوله: </w:t>
      </w:r>
      <w:r w:rsidRPr="00E67629">
        <w:rPr>
          <w:rFonts w:ascii="Times New Roman" w:eastAsia="Times New Roman" w:hAnsi="Times New Roman" w:cs="Traditional Arabic"/>
          <w:b/>
          <w:bCs/>
          <w:sz w:val="32"/>
          <w:szCs w:val="32"/>
          <w:rtl/>
        </w:rPr>
        <w:t>«كان الشّاعرُ يُقَدَّم على الخطيب، لِفَرْطِ حاجتهم إلى الشّعر الّذي يُقَيِّدُ عليهم مآثِرَهم، ويُفَخِّمُ شأنَهم، ويُهَوِّلُ على عدوِّهم ومَنْ غزاهم، ويُهَيِّبُ مِنْ فرسانهم، ويُخَوِّفُ مِن كَثْرَةِ عددهم، ويهابُهم شاعرُ غيرِهم فيراقبُ شاعرَهم؛ فلمّا كثر الشّعر والشُّعراء، واتّخذوا الشّعرَ مَكْسَبَةً، ورحلوا إلى السُّوقَةِ، وتسرَّعوا إلى أعراضِ النّاس، صارَ الخطيبُ عندَهم فوقَ الشّاعر»</w:t>
      </w:r>
      <w:r w:rsidRPr="00E67629">
        <w:rPr>
          <w:rFonts w:ascii="Times New Roman" w:eastAsia="Times New Roman" w:hAnsi="Times New Roman" w:cs="Traditional Arabic"/>
          <w:sz w:val="32"/>
          <w:szCs w:val="32"/>
          <w:rtl/>
        </w:rPr>
        <w:t>؛ وفي كلام أبي عمرٍو إشارةٌ خفيّةٌ إلى أنّ الخطباء كانوا</w:t>
      </w:r>
      <w:r w:rsidRPr="00E67629">
        <w:rPr>
          <w:rFonts w:ascii="Times New Roman" w:eastAsia="Times New Roman" w:hAnsi="Times New Roman" w:cs="Traditional Arabic"/>
          <w:sz w:val="32"/>
          <w:szCs w:val="32"/>
          <w:rtl/>
          <w:lang w:bidi="ar-SY"/>
        </w:rPr>
        <w:t xml:space="preserve"> في ال</w:t>
      </w:r>
      <w:r w:rsidRPr="00E67629">
        <w:rPr>
          <w:rFonts w:ascii="Times New Roman" w:eastAsia="Times New Roman" w:hAnsi="Times New Roman" w:cs="Traditional Arabic"/>
          <w:sz w:val="32"/>
          <w:szCs w:val="32"/>
          <w:rtl/>
        </w:rPr>
        <w:t>عاد</w:t>
      </w:r>
      <w:r w:rsidRPr="00E67629">
        <w:rPr>
          <w:rFonts w:ascii="Times New Roman" w:eastAsia="Times New Roman" w:hAnsi="Times New Roman" w:cs="Traditional Arabic"/>
          <w:sz w:val="32"/>
          <w:szCs w:val="32"/>
          <w:rtl/>
          <w:lang w:bidi="ar-SY"/>
        </w:rPr>
        <w:t>ة</w:t>
      </w:r>
      <w:r w:rsidRPr="00E67629">
        <w:rPr>
          <w:rFonts w:ascii="Times New Roman" w:eastAsia="Times New Roman" w:hAnsi="Times New Roman" w:cs="Traditional Arabic"/>
          <w:sz w:val="32"/>
          <w:szCs w:val="32"/>
          <w:rtl/>
        </w:rPr>
        <w:t xml:space="preserve"> مِنْ أشراف النّاس </w:t>
      </w:r>
      <w:r w:rsidRPr="00E67629">
        <w:rPr>
          <w:rFonts w:ascii="Times New Roman" w:eastAsia="Times New Roman" w:hAnsi="Times New Roman" w:cs="Traditional Arabic"/>
          <w:sz w:val="32"/>
          <w:szCs w:val="32"/>
          <w:rtl/>
        </w:rPr>
        <w:lastRenderedPageBreak/>
        <w:t>وسادَتِهم، على خلافِ الشّعراء، فإنّ فيهم مَنْ لم يكن كذلك، فلجأ إلى التّكسّب بالشّعر والرّحلة لِمَدْحِ كلّ مَنْ يُعطيه.</w:t>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b/>
          <w:bCs/>
          <w:sz w:val="32"/>
          <w:szCs w:val="32"/>
          <w:rtl/>
        </w:rPr>
      </w:pPr>
      <w:r w:rsidRPr="00E67629">
        <w:rPr>
          <w:rFonts w:ascii="Times New Roman" w:eastAsia="Times New Roman" w:hAnsi="Times New Roman" w:cs="Traditional Arabic"/>
          <w:b/>
          <w:bCs/>
          <w:sz w:val="32"/>
          <w:szCs w:val="32"/>
          <w:rtl/>
          <w:lang w:bidi="ar-SY"/>
        </w:rPr>
        <w:t>4</w:t>
      </w:r>
      <w:r w:rsidRPr="00E67629">
        <w:rPr>
          <w:rFonts w:ascii="Times New Roman" w:eastAsia="Times New Roman" w:hAnsi="Times New Roman" w:cs="Traditional Arabic"/>
          <w:b/>
          <w:bCs/>
          <w:sz w:val="32"/>
          <w:szCs w:val="32"/>
          <w:rtl/>
        </w:rPr>
        <w:t>- هَيْئَةُ الخطيب وصفاته:</w:t>
      </w:r>
      <w:r w:rsidRPr="00E67629">
        <w:rPr>
          <w:rFonts w:ascii="Times New Roman" w:eastAsia="Times New Roman" w:hAnsi="Times New Roman" w:cs="Traditional Arabic"/>
          <w:b/>
          <w:bCs/>
          <w:sz w:val="32"/>
          <w:szCs w:val="32"/>
          <w:rtl/>
        </w:rPr>
        <w:tab/>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 xml:space="preserve"> </w:t>
      </w:r>
      <w:r w:rsidRPr="00E67629">
        <w:rPr>
          <w:rFonts w:ascii="Times New Roman" w:eastAsia="Times New Roman" w:hAnsi="Times New Roman" w:cs="Traditional Arabic"/>
          <w:sz w:val="32"/>
          <w:szCs w:val="32"/>
          <w:rtl/>
          <w:lang w:bidi="ar-SY"/>
        </w:rPr>
        <w:t xml:space="preserve">كان </w:t>
      </w:r>
      <w:r w:rsidRPr="00E67629">
        <w:rPr>
          <w:rFonts w:ascii="Times New Roman" w:eastAsia="Times New Roman" w:hAnsi="Times New Roman" w:cs="Traditional Arabic"/>
          <w:sz w:val="32"/>
          <w:szCs w:val="32"/>
          <w:rtl/>
        </w:rPr>
        <w:t xml:space="preserve">للخطباء تقاليدُ وهيئاتٌ </w:t>
      </w:r>
      <w:r w:rsidRPr="00E67629">
        <w:rPr>
          <w:rFonts w:ascii="Times New Roman" w:eastAsia="Times New Roman" w:hAnsi="Times New Roman" w:cs="Traditional Arabic"/>
          <w:sz w:val="32"/>
          <w:szCs w:val="32"/>
          <w:rtl/>
          <w:lang w:bidi="ar-SY"/>
        </w:rPr>
        <w:t>يحرِصُون عليها</w:t>
      </w:r>
      <w:r w:rsidRPr="00E67629">
        <w:rPr>
          <w:rFonts w:ascii="Times New Roman" w:eastAsia="Times New Roman" w:hAnsi="Times New Roman" w:cs="Traditional Arabic"/>
          <w:sz w:val="32"/>
          <w:szCs w:val="32"/>
          <w:rtl/>
        </w:rPr>
        <w:t xml:space="preserve">، وصفاتٌ لا غنى عنها؛ فكان مِنَ التّقليد أنْ يَلُوثَ الخطيبُ عِمامَتَهُ على رأسه، لأنّها مِن كمالِ هَيْئَةِ الرّجلِ وجَمالِهِ، وقد أُثِرَ عن عمرَ بنِ الخَطّاب رضي الله عنه قولُهُ: </w:t>
      </w:r>
      <w:r w:rsidRPr="00E67629">
        <w:rPr>
          <w:rFonts w:ascii="Times New Roman" w:eastAsia="Times New Roman" w:hAnsi="Times New Roman" w:cs="Traditional Arabic"/>
          <w:b/>
          <w:bCs/>
          <w:sz w:val="32"/>
          <w:szCs w:val="32"/>
          <w:rtl/>
        </w:rPr>
        <w:t>«العَمائمُ تِيجان العرب»</w:t>
      </w:r>
      <w:r w:rsidRPr="00E67629">
        <w:rPr>
          <w:rFonts w:ascii="Times New Roman" w:eastAsia="Times New Roman" w:hAnsi="Times New Roman" w:cs="Traditional Arabic"/>
          <w:sz w:val="32"/>
          <w:szCs w:val="32"/>
          <w:rtl/>
          <w:lang w:bidi="ar-SY"/>
        </w:rPr>
        <w:t>،</w:t>
      </w:r>
      <w:r w:rsidRPr="00E67629">
        <w:rPr>
          <w:rFonts w:ascii="Times New Roman" w:eastAsia="Times New Roman" w:hAnsi="Times New Roman" w:cs="Traditional Arabic"/>
          <w:sz w:val="32"/>
          <w:szCs w:val="32"/>
          <w:rtl/>
        </w:rPr>
        <w:t xml:space="preserve"> وعن عليِّ بنِ أَبي طالِبٍ رضي الله عنه: </w:t>
      </w:r>
      <w:r w:rsidRPr="00E67629">
        <w:rPr>
          <w:rFonts w:ascii="Times New Roman" w:eastAsia="Times New Roman" w:hAnsi="Times New Roman" w:cs="Traditional Arabic"/>
          <w:b/>
          <w:bCs/>
          <w:sz w:val="32"/>
          <w:szCs w:val="32"/>
          <w:rtl/>
        </w:rPr>
        <w:t>«جَمالُ الرّجلِ في عِمَّتِهِ»</w:t>
      </w:r>
      <w:r w:rsidRPr="00E67629">
        <w:rPr>
          <w:rFonts w:ascii="Times New Roman" w:eastAsia="Times New Roman" w:hAnsi="Times New Roman" w:cs="Traditional Arabic"/>
          <w:sz w:val="32"/>
          <w:szCs w:val="32"/>
          <w:rtl/>
        </w:rPr>
        <w:t xml:space="preserve">، </w:t>
      </w:r>
      <w:r w:rsidRPr="00E67629">
        <w:rPr>
          <w:rFonts w:ascii="Times New Roman" w:eastAsia="Times New Roman" w:hAnsi="Times New Roman" w:cs="Traditional Arabic"/>
          <w:sz w:val="32"/>
          <w:szCs w:val="32"/>
          <w:rtl/>
          <w:lang w:bidi="ar-SY"/>
        </w:rPr>
        <w:t>و</w:t>
      </w:r>
      <w:r w:rsidRPr="00E67629">
        <w:rPr>
          <w:rFonts w:ascii="Times New Roman" w:eastAsia="Times New Roman" w:hAnsi="Times New Roman" w:cs="Traditional Arabic"/>
          <w:sz w:val="32"/>
          <w:szCs w:val="32"/>
          <w:rtl/>
        </w:rPr>
        <w:t>كان</w:t>
      </w:r>
      <w:r w:rsidRPr="00E67629">
        <w:rPr>
          <w:rFonts w:ascii="Times New Roman" w:eastAsia="Times New Roman" w:hAnsi="Times New Roman" w:cs="Traditional Arabic"/>
          <w:sz w:val="32"/>
          <w:szCs w:val="32"/>
          <w:rtl/>
          <w:lang w:bidi="ar-SY"/>
        </w:rPr>
        <w:t xml:space="preserve"> الخطيبُ</w:t>
      </w:r>
      <w:r w:rsidRPr="00E67629">
        <w:rPr>
          <w:rFonts w:ascii="Times New Roman" w:eastAsia="Times New Roman" w:hAnsi="Times New Roman" w:cs="Traditional Arabic"/>
          <w:sz w:val="32"/>
          <w:szCs w:val="32"/>
          <w:rtl/>
        </w:rPr>
        <w:t xml:space="preserve"> يُمْسِكُ بيده عَصًا أو مِخْصَرَةً أو رُمحًا أو قَوْسًا يتّكئ عليها ويُشيرُ</w:t>
      </w:r>
      <w:r w:rsidRPr="00E67629">
        <w:rPr>
          <w:rFonts w:ascii="Times New Roman" w:eastAsia="Times New Roman" w:hAnsi="Times New Roman" w:cs="Traditional Arabic"/>
          <w:sz w:val="32"/>
          <w:szCs w:val="32"/>
          <w:rtl/>
          <w:lang w:bidi="ar-SY"/>
        </w:rPr>
        <w:t xml:space="preserve"> بها، </w:t>
      </w:r>
      <w:r w:rsidRPr="00E67629">
        <w:rPr>
          <w:rFonts w:ascii="Times New Roman" w:eastAsia="Times New Roman" w:hAnsi="Times New Roman" w:cs="Traditional Arabic"/>
          <w:sz w:val="32"/>
          <w:szCs w:val="32"/>
          <w:rtl/>
        </w:rPr>
        <w:t xml:space="preserve">فيرفعُها ويضعُها </w:t>
      </w:r>
      <w:r w:rsidRPr="00E67629">
        <w:rPr>
          <w:rFonts w:ascii="Times New Roman" w:eastAsia="Times New Roman" w:hAnsi="Times New Roman" w:cs="Traditional Arabic"/>
          <w:sz w:val="32"/>
          <w:szCs w:val="32"/>
          <w:rtl/>
          <w:lang w:bidi="ar-SY"/>
        </w:rPr>
        <w:t>مُعَزِّزاً بها كلامَه</w:t>
      </w:r>
      <w:r w:rsidRPr="00E67629">
        <w:rPr>
          <w:rFonts w:ascii="Times New Roman" w:eastAsia="Times New Roman" w:hAnsi="Times New Roman" w:cs="Traditional Arabic"/>
          <w:sz w:val="32"/>
          <w:szCs w:val="32"/>
          <w:rtl/>
        </w:rPr>
        <w:t xml:space="preserve">، وقد عابَ عليهمُ الشُّعوبيُّونَ ذلك بعد الإسلام لجهلِهم سَبَبَهُ؛ فردّ عليهم الجاحظُ بقوله: </w:t>
      </w:r>
      <w:r w:rsidRPr="00E67629">
        <w:rPr>
          <w:rFonts w:ascii="Times New Roman" w:eastAsia="Times New Roman" w:hAnsi="Times New Roman" w:cs="Traditional Arabic"/>
          <w:b/>
          <w:bCs/>
          <w:sz w:val="32"/>
          <w:szCs w:val="32"/>
          <w:rtl/>
        </w:rPr>
        <w:t>«إنّ حَمْلَ العصا والـمِخْصَرَةِ دليلٌ على التّأهُّبِ للخُطْبَةِ والتّهيُّؤِ للإطنابِ</w:t>
      </w:r>
      <w:r w:rsidRPr="00E67629">
        <w:rPr>
          <w:rFonts w:ascii="Times New Roman" w:eastAsia="Times New Roman" w:hAnsi="Times New Roman" w:cs="Traditional Arabic"/>
          <w:b/>
          <w:bCs/>
          <w:sz w:val="32"/>
          <w:szCs w:val="32"/>
          <w:rtl/>
          <w:lang w:bidi="ar-SY"/>
        </w:rPr>
        <w:t xml:space="preserve"> </w:t>
      </w:r>
      <w:r w:rsidRPr="00E67629">
        <w:rPr>
          <w:rFonts w:ascii="Times New Roman" w:eastAsia="Times New Roman" w:hAnsi="Times New Roman" w:cs="Traditional Arabic"/>
          <w:b/>
          <w:bCs/>
          <w:sz w:val="32"/>
          <w:szCs w:val="32"/>
          <w:rtl/>
        </w:rPr>
        <w:t>والإطالة، وذلك شيءٌ خاصٌّ في خطباء العرب، ومقصورٌ عليهم، ومنسوبٌ إليهم، حتّى إنّهم لَيَذْهَبون في حوائجِهم والـمَخاصِرُ بأيد</w:t>
      </w:r>
      <w:r w:rsidRPr="00E67629">
        <w:rPr>
          <w:rFonts w:ascii="Times New Roman" w:eastAsia="Times New Roman" w:hAnsi="Times New Roman" w:cs="Traditional Arabic"/>
          <w:b/>
          <w:bCs/>
          <w:sz w:val="32"/>
          <w:szCs w:val="32"/>
          <w:rtl/>
          <w:lang w:bidi="ar-SY"/>
        </w:rPr>
        <w:t>ي</w:t>
      </w:r>
      <w:r w:rsidRPr="00E67629">
        <w:rPr>
          <w:rFonts w:ascii="Times New Roman" w:eastAsia="Times New Roman" w:hAnsi="Times New Roman" w:cs="Traditional Arabic"/>
          <w:b/>
          <w:bCs/>
          <w:sz w:val="32"/>
          <w:szCs w:val="32"/>
          <w:rtl/>
        </w:rPr>
        <w:t>هم، إِلْفًا لها وتوقّعًا لبعضِ ما يُوجِبُ حَمْلَها والإشارةَ بها</w:t>
      </w:r>
      <w:r w:rsidRPr="00E67629">
        <w:rPr>
          <w:rFonts w:ascii="Times New Roman" w:eastAsia="Times New Roman" w:hAnsi="Times New Roman" w:cs="Traditional Arabic"/>
          <w:b/>
          <w:bCs/>
          <w:sz w:val="32"/>
          <w:szCs w:val="32"/>
          <w:rtl/>
          <w:lang w:bidi="ar-SY"/>
        </w:rPr>
        <w:t>"</w:t>
      </w:r>
      <w:r w:rsidRPr="00E67629">
        <w:rPr>
          <w:rFonts w:ascii="Times New Roman" w:eastAsia="Times New Roman" w:hAnsi="Times New Roman" w:cs="Traditional Arabic"/>
          <w:sz w:val="32"/>
          <w:szCs w:val="32"/>
          <w:rtl/>
        </w:rPr>
        <w:t xml:space="preserve">، ومِن </w:t>
      </w:r>
      <w:r w:rsidRPr="00E67629">
        <w:rPr>
          <w:rFonts w:ascii="Times New Roman" w:eastAsia="Times New Roman" w:hAnsi="Times New Roman" w:cs="Traditional Arabic"/>
          <w:sz w:val="32"/>
          <w:szCs w:val="32"/>
          <w:rtl/>
          <w:lang w:bidi="ar-SY"/>
        </w:rPr>
        <w:t>عادتِهم</w:t>
      </w:r>
      <w:r w:rsidRPr="00E67629">
        <w:rPr>
          <w:rFonts w:ascii="Times New Roman" w:eastAsia="Times New Roman" w:hAnsi="Times New Roman" w:cs="Traditional Arabic"/>
          <w:sz w:val="32"/>
          <w:szCs w:val="32"/>
          <w:rtl/>
        </w:rPr>
        <w:t xml:space="preserve"> أَنْ يُشْرِفَ الخطيبُ على النّاسِ حتّى يَرَوْهُ، فيستحوذَ على قلوبهم، فإمّا أن يصعَدَ مرتفَعًا مِنَ الأرض، وإمّا أن يركب على راحلته، فيَخْطُبَ بالنّاسِ وهو يرفع يدَهُ ويَضَعُها مُستَعِينًا بما يُمْسِكُه مِن عصًا أو رُمْحٍ أو قَوْسٍ.</w:t>
      </w:r>
    </w:p>
    <w:p w:rsidR="00E67629" w:rsidRPr="00E67629" w:rsidRDefault="00E67629" w:rsidP="00E67629">
      <w:pPr>
        <w:keepNext/>
        <w:spacing w:after="0" w:line="240" w:lineRule="auto"/>
        <w:ind w:left="-7" w:firstLine="850"/>
        <w:jc w:val="lowKashida"/>
        <w:outlineLvl w:val="0"/>
        <w:rPr>
          <w:rFonts w:ascii="Times New Roman" w:eastAsia="Times New Roman" w:hAnsi="Times New Roman" w:cs="Traditional Arabic"/>
          <w:sz w:val="32"/>
          <w:szCs w:val="32"/>
          <w:rtl/>
        </w:rPr>
      </w:pPr>
      <w:r w:rsidRPr="00E67629">
        <w:rPr>
          <w:rFonts w:ascii="Times New Roman" w:eastAsia="Times New Roman" w:hAnsi="Times New Roman" w:cs="Traditional Arabic"/>
          <w:sz w:val="32"/>
          <w:szCs w:val="32"/>
          <w:rtl/>
        </w:rPr>
        <w:t>و</w:t>
      </w:r>
      <w:r w:rsidRPr="00E67629">
        <w:rPr>
          <w:rFonts w:ascii="Times New Roman" w:eastAsia="Times New Roman" w:hAnsi="Times New Roman" w:cs="Traditional Arabic"/>
          <w:sz w:val="32"/>
          <w:szCs w:val="32"/>
          <w:rtl/>
          <w:lang w:bidi="ar-SY"/>
        </w:rPr>
        <w:t>من</w:t>
      </w:r>
      <w:r w:rsidRPr="00E67629">
        <w:rPr>
          <w:rFonts w:ascii="Times New Roman" w:eastAsia="Times New Roman" w:hAnsi="Times New Roman" w:cs="Traditional Arabic"/>
          <w:sz w:val="32"/>
          <w:szCs w:val="32"/>
          <w:rtl/>
        </w:rPr>
        <w:t xml:space="preserve"> ص</w:t>
      </w:r>
      <w:r w:rsidRPr="00E67629">
        <w:rPr>
          <w:rFonts w:ascii="Times New Roman" w:eastAsia="Times New Roman" w:hAnsi="Times New Roman" w:cs="Traditional Arabic"/>
          <w:sz w:val="32"/>
          <w:szCs w:val="32"/>
          <w:rtl/>
          <w:lang w:bidi="ar-SY"/>
        </w:rPr>
        <w:t>ـ</w:t>
      </w:r>
      <w:r w:rsidRPr="00E67629">
        <w:rPr>
          <w:rFonts w:ascii="Times New Roman" w:eastAsia="Times New Roman" w:hAnsi="Times New Roman" w:cs="Traditional Arabic"/>
          <w:sz w:val="32"/>
          <w:szCs w:val="32"/>
          <w:rtl/>
        </w:rPr>
        <w:t xml:space="preserve">فات الخطيب </w:t>
      </w:r>
      <w:r w:rsidRPr="00E67629">
        <w:rPr>
          <w:rFonts w:ascii="Times New Roman" w:eastAsia="Times New Roman" w:hAnsi="Times New Roman" w:cs="Traditional Arabic"/>
          <w:sz w:val="32"/>
          <w:szCs w:val="32"/>
          <w:rtl/>
          <w:lang w:bidi="ar-SY"/>
        </w:rPr>
        <w:t>الّتي</w:t>
      </w:r>
      <w:r w:rsidRPr="00E67629">
        <w:rPr>
          <w:rFonts w:ascii="Times New Roman" w:eastAsia="Times New Roman" w:hAnsi="Times New Roman" w:cs="Traditional Arabic"/>
          <w:sz w:val="32"/>
          <w:szCs w:val="32"/>
          <w:rtl/>
        </w:rPr>
        <w:t xml:space="preserve"> لا بدَّ</w:t>
      </w:r>
      <w:r w:rsidRPr="00E67629">
        <w:rPr>
          <w:rFonts w:ascii="Times New Roman" w:eastAsia="Times New Roman" w:hAnsi="Times New Roman" w:cs="Traditional Arabic"/>
          <w:sz w:val="32"/>
          <w:szCs w:val="32"/>
          <w:rtl/>
          <w:lang w:bidi="ar-SY"/>
        </w:rPr>
        <w:t xml:space="preserve"> منها</w:t>
      </w:r>
      <w:r w:rsidRPr="00E67629">
        <w:rPr>
          <w:rFonts w:ascii="Times New Roman" w:eastAsia="Times New Roman" w:hAnsi="Times New Roman" w:cs="Traditional Arabic"/>
          <w:sz w:val="32"/>
          <w:szCs w:val="32"/>
          <w:rtl/>
        </w:rPr>
        <w:t xml:space="preserve"> أن يكونَ ثابتَ القلبِ قلي</w:t>
      </w:r>
      <w:r w:rsidRPr="00E67629">
        <w:rPr>
          <w:rFonts w:ascii="Times New Roman" w:eastAsia="Times New Roman" w:hAnsi="Times New Roman" w:cs="Traditional Arabic"/>
          <w:sz w:val="32"/>
          <w:szCs w:val="32"/>
          <w:rtl/>
          <w:lang w:bidi="ar-SY"/>
        </w:rPr>
        <w:t>ـ</w:t>
      </w:r>
      <w:r w:rsidRPr="00E67629">
        <w:rPr>
          <w:rFonts w:ascii="Times New Roman" w:eastAsia="Times New Roman" w:hAnsi="Times New Roman" w:cs="Traditional Arabic"/>
          <w:sz w:val="32"/>
          <w:szCs w:val="32"/>
          <w:rtl/>
        </w:rPr>
        <w:t xml:space="preserve">لَ التّلفُّتِ، حاضرَ البَدِيهة، لا يتهيّبُ النّاسَ عندما يَرْمُونَ بأبصارهم إليه ويُقْبِلونَ عليه؛ ولا بدّ له أن يكونَ جَهيرَ الصّوت، سليمَ النُّطْقِ، كثيرَ الرِّيْق؛ ولذلك عابوا التَّنَحْنُحَ والارتعاشَ والسُّعالَ والعَبَثَ باللِّحْيَة وتَصَبُّبَ العَرَقِ، لأنّه دليلٌ على تَهَيُّبِ النّاسِ أو العِيّ؛ وقد وصفوا تلك المحاسنَ وهذه المعايِبَ في أشعارٍ ساقها الجاحظ في (البيان والتّبيين). </w:t>
      </w:r>
    </w:p>
    <w:p w:rsidR="00AF217A" w:rsidRDefault="00AF217A">
      <w:pPr>
        <w:rPr>
          <w:rFonts w:hint="cs"/>
        </w:rPr>
      </w:pPr>
    </w:p>
    <w:sectPr w:rsidR="00AF217A" w:rsidSect="00B0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66"/>
    <w:rsid w:val="00AF217A"/>
    <w:rsid w:val="00B05D71"/>
    <w:rsid w:val="00B94F66"/>
    <w:rsid w:val="00E67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hiba</cp:lastModifiedBy>
  <cp:revision>2</cp:revision>
  <dcterms:created xsi:type="dcterms:W3CDTF">2020-03-19T14:09:00Z</dcterms:created>
  <dcterms:modified xsi:type="dcterms:W3CDTF">2020-03-19T14:09:00Z</dcterms:modified>
</cp:coreProperties>
</file>